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1213" w14:textId="77777777" w:rsidR="00B17DED" w:rsidRPr="00B17DED" w:rsidRDefault="00B17DED" w:rsidP="00B17DED">
      <w:pPr>
        <w:rPr>
          <w:rFonts w:ascii="Times New Roman" w:eastAsia="Calibri" w:hAnsi="Times New Roman"/>
        </w:rPr>
      </w:pPr>
      <w:r w:rsidRPr="00B17DED">
        <w:rPr>
          <w:rFonts w:ascii="Times New Roman" w:eastAsia="Calibri" w:hAnsi="Times New Roman"/>
          <w:i/>
          <w:iCs/>
        </w:rPr>
        <w:t>Tax &amp; Business Alert</w:t>
      </w:r>
      <w:r w:rsidRPr="00B17DED">
        <w:rPr>
          <w:rFonts w:ascii="Times New Roman" w:eastAsia="Calibri" w:hAnsi="Times New Roman"/>
        </w:rPr>
        <w:t xml:space="preserve"> – February 2024</w:t>
      </w:r>
    </w:p>
    <w:p w14:paraId="3EB6365F" w14:textId="77777777" w:rsidR="00B17DED" w:rsidRPr="00B17DED" w:rsidRDefault="00B17DED" w:rsidP="00B17DED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Calibri" w:hAnsi="Times New Roman"/>
        </w:rPr>
        <w:t>429</w:t>
      </w:r>
      <w:r w:rsidRPr="00B17DED">
        <w:rPr>
          <w:rFonts w:ascii="Times New Roman" w:eastAsia="Calibri" w:hAnsi="Times New Roman"/>
        </w:rPr>
        <w:t xml:space="preserve"> words</w:t>
      </w:r>
    </w:p>
    <w:p w14:paraId="6F50C1AF" w14:textId="77777777" w:rsidR="00A05B18" w:rsidRDefault="00A05B18" w:rsidP="0075036A">
      <w:pPr>
        <w:spacing w:after="200"/>
        <w:rPr>
          <w:rFonts w:ascii="Times New Roman" w:hAnsi="Times New Roman"/>
        </w:rPr>
      </w:pPr>
      <w:r w:rsidRPr="00A05B18">
        <w:rPr>
          <w:rFonts w:ascii="Times New Roman" w:hAnsi="Times New Roman"/>
          <w:b/>
          <w:bCs/>
        </w:rPr>
        <w:t>Abstract:</w:t>
      </w:r>
      <w:r>
        <w:rPr>
          <w:rFonts w:ascii="Times New Roman" w:hAnsi="Times New Roman"/>
        </w:rPr>
        <w:t xml:space="preserve"> </w:t>
      </w:r>
      <w:r w:rsidR="003723F7">
        <w:rPr>
          <w:rFonts w:ascii="Times New Roman" w:hAnsi="Times New Roman"/>
        </w:rPr>
        <w:t xml:space="preserve">  </w:t>
      </w:r>
      <w:r w:rsidRPr="00D67B02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qualified business income (</w:t>
      </w:r>
      <w:r w:rsidRPr="00D67B02">
        <w:rPr>
          <w:rFonts w:ascii="Times New Roman" w:hAnsi="Times New Roman"/>
        </w:rPr>
        <w:t>QBI</w:t>
      </w:r>
      <w:r>
        <w:rPr>
          <w:rFonts w:ascii="Times New Roman" w:hAnsi="Times New Roman"/>
        </w:rPr>
        <w:t>)</w:t>
      </w:r>
      <w:r w:rsidRPr="00D67B02">
        <w:rPr>
          <w:rFonts w:ascii="Times New Roman" w:hAnsi="Times New Roman"/>
        </w:rPr>
        <w:t xml:space="preserve"> deduction, authorized by the Tax Cuts and Jobs </w:t>
      </w:r>
      <w:r w:rsidR="006E4F07">
        <w:rPr>
          <w:rFonts w:ascii="Times New Roman" w:hAnsi="Times New Roman"/>
        </w:rPr>
        <w:t xml:space="preserve">Act </w:t>
      </w:r>
      <w:r w:rsidRPr="00D67B02">
        <w:rPr>
          <w:rFonts w:ascii="Times New Roman" w:hAnsi="Times New Roman"/>
        </w:rPr>
        <w:t>(TCJA),</w:t>
      </w:r>
      <w:r>
        <w:rPr>
          <w:rFonts w:ascii="Times New Roman" w:hAnsi="Times New Roman"/>
        </w:rPr>
        <w:t xml:space="preserve">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is available to owners of pass-through entit</w:t>
      </w:r>
      <w:r>
        <w:rPr>
          <w:rFonts w:ascii="Times New Roman" w:eastAsia="Times New Roman" w:hAnsi="Times New Roman"/>
          <w:color w:val="272727"/>
          <w:shd w:val="clear" w:color="auto" w:fill="FFFFFF"/>
        </w:rPr>
        <w:t>i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es — such as S corporations, </w:t>
      </w:r>
      <w:proofErr w:type="gramStart"/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partnerships</w:t>
      </w:r>
      <w:proofErr w:type="gramEnd"/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and limited liability companies (LLCs) — as well as self-employed individuals.</w:t>
      </w:r>
      <w:r>
        <w:rPr>
          <w:rFonts w:ascii="Times New Roman" w:eastAsia="Times New Roman" w:hAnsi="Times New Roman"/>
          <w:color w:val="272727"/>
          <w:shd w:val="clear" w:color="auto" w:fill="FFFFFF"/>
        </w:rPr>
        <w:t xml:space="preserve"> This article highlights how the QBI deduction works and </w:t>
      </w:r>
      <w:r w:rsidR="003F0198">
        <w:rPr>
          <w:rFonts w:ascii="Times New Roman" w:eastAsia="Times New Roman" w:hAnsi="Times New Roman"/>
          <w:color w:val="272727"/>
          <w:shd w:val="clear" w:color="auto" w:fill="FFFFFF"/>
        </w:rPr>
        <w:t>explains</w:t>
      </w:r>
      <w:r>
        <w:rPr>
          <w:rFonts w:ascii="Times New Roman" w:eastAsia="Times New Roman" w:hAnsi="Times New Roman"/>
          <w:color w:val="272727"/>
          <w:shd w:val="clear" w:color="auto" w:fill="FFFFFF"/>
        </w:rPr>
        <w:t xml:space="preserve"> that </w:t>
      </w:r>
      <w:r>
        <w:rPr>
          <w:rFonts w:ascii="Times New Roman" w:hAnsi="Times New Roman"/>
        </w:rPr>
        <w:t>it’s only available for a limited time</w:t>
      </w:r>
      <w:r w:rsidR="003F0198">
        <w:rPr>
          <w:rFonts w:ascii="Times New Roman" w:hAnsi="Times New Roman"/>
        </w:rPr>
        <w:t>,</w:t>
      </w:r>
      <w:r w:rsidR="00863675">
        <w:rPr>
          <w:rFonts w:ascii="Times New Roman" w:hAnsi="Times New Roman"/>
        </w:rPr>
        <w:t xml:space="preserve"> </w:t>
      </w:r>
      <w:r w:rsidR="003F0198">
        <w:rPr>
          <w:rFonts w:ascii="Times New Roman" w:hAnsi="Times New Roman"/>
        </w:rPr>
        <w:t>unless Congress takes</w:t>
      </w:r>
      <w:r w:rsidRPr="00D67B02">
        <w:rPr>
          <w:rFonts w:ascii="Times New Roman" w:hAnsi="Times New Roman"/>
        </w:rPr>
        <w:t xml:space="preserve"> further legislative action.</w:t>
      </w:r>
    </w:p>
    <w:p w14:paraId="08235B5A" w14:textId="77777777" w:rsidR="004A6F86" w:rsidRPr="00D67B02" w:rsidRDefault="00D67B02" w:rsidP="0075036A">
      <w:pPr>
        <w:spacing w:after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How to </w:t>
      </w:r>
      <w:r w:rsidR="00AD6928">
        <w:rPr>
          <w:rFonts w:ascii="Times New Roman" w:hAnsi="Times New Roman"/>
          <w:b/>
          <w:bCs/>
          <w:sz w:val="28"/>
          <w:szCs w:val="28"/>
        </w:rPr>
        <w:t>secure a tax benefit</w:t>
      </w:r>
      <w:r w:rsidR="004A6F86" w:rsidRPr="00D67B0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with the QBI deduction</w:t>
      </w:r>
    </w:p>
    <w:p w14:paraId="4F743A13" w14:textId="77777777" w:rsidR="00227ED5" w:rsidRDefault="00227ED5" w:rsidP="0075036A">
      <w:pPr>
        <w:spacing w:after="200"/>
        <w:rPr>
          <w:rFonts w:ascii="Times New Roman" w:hAnsi="Times New Roman"/>
        </w:rPr>
      </w:pPr>
      <w:r w:rsidRPr="00D67B02">
        <w:rPr>
          <w:rFonts w:ascii="Times New Roman" w:hAnsi="Times New Roman"/>
        </w:rPr>
        <w:t xml:space="preserve">QBI </w:t>
      </w:r>
      <w:r w:rsidR="0007264F">
        <w:rPr>
          <w:rFonts w:ascii="Times New Roman" w:hAnsi="Times New Roman"/>
        </w:rPr>
        <w:t xml:space="preserve">may </w:t>
      </w:r>
      <w:r w:rsidRPr="00D67B02">
        <w:rPr>
          <w:rFonts w:ascii="Times New Roman" w:hAnsi="Times New Roman"/>
        </w:rPr>
        <w:t xml:space="preserve">sound like </w:t>
      </w:r>
      <w:r w:rsidR="00FF72AB" w:rsidRPr="00D67B02">
        <w:rPr>
          <w:rFonts w:ascii="Times New Roman" w:hAnsi="Times New Roman"/>
        </w:rPr>
        <w:t xml:space="preserve">the name of </w:t>
      </w:r>
      <w:r w:rsidRPr="00D67B02">
        <w:rPr>
          <w:rFonts w:ascii="Times New Roman" w:hAnsi="Times New Roman"/>
        </w:rPr>
        <w:t xml:space="preserve">a TV quiz show. </w:t>
      </w:r>
      <w:r w:rsidR="00FF72AB" w:rsidRPr="00D67B02">
        <w:rPr>
          <w:rFonts w:ascii="Times New Roman" w:hAnsi="Times New Roman"/>
        </w:rPr>
        <w:t>But i</w:t>
      </w:r>
      <w:r w:rsidRPr="00D67B02">
        <w:rPr>
          <w:rFonts w:ascii="Times New Roman" w:hAnsi="Times New Roman"/>
        </w:rPr>
        <w:t xml:space="preserve">t’s </w:t>
      </w:r>
      <w:proofErr w:type="gramStart"/>
      <w:r w:rsidRPr="00D67B02">
        <w:rPr>
          <w:rFonts w:ascii="Times New Roman" w:hAnsi="Times New Roman"/>
        </w:rPr>
        <w:t>ac</w:t>
      </w:r>
      <w:r w:rsidR="00FF72AB" w:rsidRPr="00D67B02">
        <w:rPr>
          <w:rFonts w:ascii="Times New Roman" w:hAnsi="Times New Roman"/>
        </w:rPr>
        <w:t>tually</w:t>
      </w:r>
      <w:r w:rsidRPr="00D67B02">
        <w:rPr>
          <w:rFonts w:ascii="Times New Roman" w:hAnsi="Times New Roman"/>
        </w:rPr>
        <w:t xml:space="preserve"> the</w:t>
      </w:r>
      <w:proofErr w:type="gramEnd"/>
      <w:r w:rsidRPr="00D67B02">
        <w:rPr>
          <w:rFonts w:ascii="Times New Roman" w:hAnsi="Times New Roman"/>
        </w:rPr>
        <w:t xml:space="preserve"> acronym f</w:t>
      </w:r>
      <w:r w:rsidR="00FF72AB" w:rsidRPr="00D67B02">
        <w:rPr>
          <w:rFonts w:ascii="Times New Roman" w:hAnsi="Times New Roman"/>
        </w:rPr>
        <w:t>o</w:t>
      </w:r>
      <w:r w:rsidRPr="00D67B02">
        <w:rPr>
          <w:rFonts w:ascii="Times New Roman" w:hAnsi="Times New Roman"/>
        </w:rPr>
        <w:t>r “qualified business income</w:t>
      </w:r>
      <w:r w:rsidR="003F0198">
        <w:rPr>
          <w:rFonts w:ascii="Times New Roman" w:hAnsi="Times New Roman"/>
        </w:rPr>
        <w:t>,</w:t>
      </w:r>
      <w:r w:rsidRPr="00D67B02">
        <w:rPr>
          <w:rFonts w:ascii="Times New Roman" w:hAnsi="Times New Roman"/>
        </w:rPr>
        <w:t xml:space="preserve">” </w:t>
      </w:r>
      <w:r w:rsidR="003F0198">
        <w:rPr>
          <w:rFonts w:ascii="Times New Roman" w:hAnsi="Times New Roman"/>
        </w:rPr>
        <w:t>which</w:t>
      </w:r>
      <w:r w:rsidR="00D67B02">
        <w:rPr>
          <w:rFonts w:ascii="Times New Roman" w:hAnsi="Times New Roman"/>
        </w:rPr>
        <w:t xml:space="preserve"> can trigger</w:t>
      </w:r>
      <w:r w:rsidRPr="00D67B02">
        <w:rPr>
          <w:rFonts w:ascii="Times New Roman" w:hAnsi="Times New Roman"/>
        </w:rPr>
        <w:t xml:space="preserve"> a tax deducti</w:t>
      </w:r>
      <w:r w:rsidR="00FF72AB" w:rsidRPr="00D67B02">
        <w:rPr>
          <w:rFonts w:ascii="Times New Roman" w:hAnsi="Times New Roman"/>
        </w:rPr>
        <w:t>o</w:t>
      </w:r>
      <w:r w:rsidRPr="00D67B02">
        <w:rPr>
          <w:rFonts w:ascii="Times New Roman" w:hAnsi="Times New Roman"/>
        </w:rPr>
        <w:t>n for</w:t>
      </w:r>
      <w:r w:rsidR="00FF72AB" w:rsidRPr="00D67B02">
        <w:rPr>
          <w:rFonts w:ascii="Times New Roman" w:hAnsi="Times New Roman"/>
        </w:rPr>
        <w:t xml:space="preserve"> </w:t>
      </w:r>
      <w:r w:rsidR="00D67B02">
        <w:rPr>
          <w:rFonts w:ascii="Times New Roman" w:hAnsi="Times New Roman"/>
        </w:rPr>
        <w:t>some</w:t>
      </w:r>
      <w:r w:rsidRPr="00D67B02">
        <w:rPr>
          <w:rFonts w:ascii="Times New Roman" w:hAnsi="Times New Roman"/>
        </w:rPr>
        <w:t xml:space="preserve"> small busines</w:t>
      </w:r>
      <w:r w:rsidR="00FF72AB" w:rsidRPr="00D67B02">
        <w:rPr>
          <w:rFonts w:ascii="Times New Roman" w:hAnsi="Times New Roman"/>
        </w:rPr>
        <w:t>s</w:t>
      </w:r>
      <w:r w:rsidR="009E0CBD">
        <w:rPr>
          <w:rFonts w:ascii="Times New Roman" w:hAnsi="Times New Roman"/>
        </w:rPr>
        <w:t xml:space="preserve"> </w:t>
      </w:r>
      <w:r w:rsidRPr="00D67B02">
        <w:rPr>
          <w:rFonts w:ascii="Times New Roman" w:hAnsi="Times New Roman"/>
        </w:rPr>
        <w:t>ow</w:t>
      </w:r>
      <w:r w:rsidR="00FF72AB" w:rsidRPr="00D67B02">
        <w:rPr>
          <w:rFonts w:ascii="Times New Roman" w:hAnsi="Times New Roman"/>
        </w:rPr>
        <w:t>ners</w:t>
      </w:r>
      <w:r w:rsidR="009E0CBD">
        <w:rPr>
          <w:rFonts w:ascii="Times New Roman" w:hAnsi="Times New Roman"/>
        </w:rPr>
        <w:t xml:space="preserve"> or self-employed individuals</w:t>
      </w:r>
      <w:r w:rsidRPr="00D67B02">
        <w:rPr>
          <w:rFonts w:ascii="Times New Roman" w:hAnsi="Times New Roman"/>
        </w:rPr>
        <w:t>. The QBI deducti</w:t>
      </w:r>
      <w:r w:rsidR="00FF72AB" w:rsidRPr="00D67B02">
        <w:rPr>
          <w:rFonts w:ascii="Times New Roman" w:hAnsi="Times New Roman"/>
        </w:rPr>
        <w:t>o</w:t>
      </w:r>
      <w:r w:rsidRPr="00D67B02">
        <w:rPr>
          <w:rFonts w:ascii="Times New Roman" w:hAnsi="Times New Roman"/>
        </w:rPr>
        <w:t>n</w:t>
      </w:r>
      <w:r w:rsidR="003F2285">
        <w:rPr>
          <w:rFonts w:ascii="Times New Roman" w:hAnsi="Times New Roman"/>
        </w:rPr>
        <w:t xml:space="preserve"> was </w:t>
      </w:r>
      <w:r w:rsidRPr="00D67B02">
        <w:rPr>
          <w:rFonts w:ascii="Times New Roman" w:hAnsi="Times New Roman"/>
        </w:rPr>
        <w:t xml:space="preserve">authorized by </w:t>
      </w:r>
      <w:r w:rsidR="00FF72AB" w:rsidRPr="00D67B02">
        <w:rPr>
          <w:rFonts w:ascii="Times New Roman" w:hAnsi="Times New Roman"/>
        </w:rPr>
        <w:t xml:space="preserve">the </w:t>
      </w:r>
      <w:r w:rsidRPr="00D67B02">
        <w:rPr>
          <w:rFonts w:ascii="Times New Roman" w:hAnsi="Times New Roman"/>
        </w:rPr>
        <w:t>Tax Cuts and J</w:t>
      </w:r>
      <w:r w:rsidR="00FF72AB" w:rsidRPr="00D67B02">
        <w:rPr>
          <w:rFonts w:ascii="Times New Roman" w:hAnsi="Times New Roman"/>
        </w:rPr>
        <w:t>o</w:t>
      </w:r>
      <w:r w:rsidRPr="00D67B02">
        <w:rPr>
          <w:rFonts w:ascii="Times New Roman" w:hAnsi="Times New Roman"/>
        </w:rPr>
        <w:t xml:space="preserve">bs </w:t>
      </w:r>
      <w:r w:rsidR="006E4F07">
        <w:rPr>
          <w:rFonts w:ascii="Times New Roman" w:hAnsi="Times New Roman"/>
        </w:rPr>
        <w:t xml:space="preserve">Act </w:t>
      </w:r>
      <w:r w:rsidRPr="00D67B02">
        <w:rPr>
          <w:rFonts w:ascii="Times New Roman" w:hAnsi="Times New Roman"/>
        </w:rPr>
        <w:t>(TCJA)</w:t>
      </w:r>
      <w:r w:rsidR="00537ECC">
        <w:rPr>
          <w:rFonts w:ascii="Times New Roman" w:hAnsi="Times New Roman"/>
        </w:rPr>
        <w:t xml:space="preserve">, and it </w:t>
      </w:r>
      <w:r w:rsidR="003F2285">
        <w:rPr>
          <w:rFonts w:ascii="Times New Roman" w:hAnsi="Times New Roman"/>
        </w:rPr>
        <w:t xml:space="preserve">took effect in </w:t>
      </w:r>
      <w:r w:rsidRPr="00D67B02">
        <w:rPr>
          <w:rFonts w:ascii="Times New Roman" w:hAnsi="Times New Roman"/>
        </w:rPr>
        <w:t>2018</w:t>
      </w:r>
      <w:r w:rsidR="00FF72AB" w:rsidRPr="00D67B02">
        <w:rPr>
          <w:rFonts w:ascii="Times New Roman" w:hAnsi="Times New Roman"/>
        </w:rPr>
        <w:t>.</w:t>
      </w:r>
    </w:p>
    <w:p w14:paraId="38E4D573" w14:textId="77777777" w:rsidR="00D67B02" w:rsidRPr="00D67B02" w:rsidRDefault="00D67B02" w:rsidP="0075036A">
      <w:pPr>
        <w:spacing w:after="200"/>
        <w:rPr>
          <w:rFonts w:ascii="Times New Roman" w:hAnsi="Times New Roman"/>
          <w:b/>
          <w:bCs/>
        </w:rPr>
      </w:pPr>
      <w:r w:rsidRPr="00D67B02">
        <w:rPr>
          <w:rFonts w:ascii="Times New Roman" w:hAnsi="Times New Roman"/>
          <w:b/>
          <w:bCs/>
        </w:rPr>
        <w:t>How it works</w:t>
      </w:r>
    </w:p>
    <w:p w14:paraId="3DDD81DB" w14:textId="77777777" w:rsidR="0092233F" w:rsidRDefault="002175AA" w:rsidP="0075036A">
      <w:pPr>
        <w:spacing w:after="200"/>
        <w:rPr>
          <w:rFonts w:ascii="Times New Roman" w:eastAsia="Times New Roman" w:hAnsi="Times New Roman"/>
          <w:color w:val="272727"/>
          <w:shd w:val="clear" w:color="auto" w:fill="FFFFFF"/>
        </w:rPr>
      </w:pP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The deduction is </w:t>
      </w:r>
      <w:r w:rsidR="00AD6928">
        <w:rPr>
          <w:rFonts w:ascii="Times New Roman" w:eastAsia="Times New Roman" w:hAnsi="Times New Roman"/>
          <w:color w:val="272727"/>
          <w:shd w:val="clear" w:color="auto" w:fill="FFFFFF"/>
        </w:rPr>
        <w:t xml:space="preserve">still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available to owners </w:t>
      </w:r>
      <w:r w:rsidR="0006332B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of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pas</w:t>
      </w:r>
      <w:r w:rsidR="00FF72AB" w:rsidRPr="00D67B02">
        <w:rPr>
          <w:rFonts w:ascii="Times New Roman" w:eastAsia="Times New Roman" w:hAnsi="Times New Roman"/>
          <w:color w:val="272727"/>
          <w:shd w:val="clear" w:color="auto" w:fill="FFFFFF"/>
        </w:rPr>
        <w:t>s</w:t>
      </w:r>
      <w:r w:rsidR="0006332B" w:rsidRPr="00D67B02">
        <w:rPr>
          <w:rFonts w:ascii="Times New Roman" w:eastAsia="Times New Roman" w:hAnsi="Times New Roman"/>
          <w:color w:val="272727"/>
          <w:shd w:val="clear" w:color="auto" w:fill="FFFFFF"/>
        </w:rPr>
        <w:t>-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through entit</w:t>
      </w:r>
      <w:r w:rsidR="00D67B02">
        <w:rPr>
          <w:rFonts w:ascii="Times New Roman" w:eastAsia="Times New Roman" w:hAnsi="Times New Roman"/>
          <w:color w:val="272727"/>
          <w:shd w:val="clear" w:color="auto" w:fill="FFFFFF"/>
        </w:rPr>
        <w:t>i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es</w:t>
      </w:r>
      <w:r w:rsidR="0006332B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—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such as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S corporations, </w:t>
      </w:r>
      <w:proofErr w:type="gramStart"/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partnerships</w:t>
      </w:r>
      <w:proofErr w:type="gramEnd"/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and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limited liability companies —</w:t>
      </w:r>
      <w:r w:rsidR="0006332B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as we</w:t>
      </w:r>
      <w:r w:rsidR="00FF72AB" w:rsidRPr="00D67B02">
        <w:rPr>
          <w:rFonts w:ascii="Times New Roman" w:eastAsia="Times New Roman" w:hAnsi="Times New Roman"/>
          <w:color w:val="272727"/>
          <w:shd w:val="clear" w:color="auto" w:fill="FFFFFF"/>
        </w:rPr>
        <w:t>ll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as self-employed individuals</w:t>
      </w:r>
      <w:r w:rsidR="003F0198">
        <w:rPr>
          <w:rFonts w:ascii="Times New Roman" w:eastAsia="Times New Roman" w:hAnsi="Times New Roman"/>
          <w:color w:val="272727"/>
          <w:shd w:val="clear" w:color="auto" w:fill="FFFFFF"/>
        </w:rPr>
        <w:t>.</w:t>
      </w:r>
      <w:r w:rsidR="00AD6928">
        <w:rPr>
          <w:rFonts w:ascii="Times New Roman" w:eastAsia="Times New Roman" w:hAnsi="Times New Roman"/>
          <w:color w:val="272727"/>
          <w:shd w:val="clear" w:color="auto" w:fill="FFFFFF"/>
        </w:rPr>
        <w:t xml:space="preserve"> </w:t>
      </w:r>
      <w:r w:rsidR="003F0198">
        <w:rPr>
          <w:rFonts w:ascii="Times New Roman" w:eastAsia="Times New Roman" w:hAnsi="Times New Roman"/>
          <w:color w:val="272727"/>
          <w:shd w:val="clear" w:color="auto" w:fill="FFFFFF"/>
        </w:rPr>
        <w:t>B</w:t>
      </w:r>
      <w:r w:rsidR="00AD6928">
        <w:rPr>
          <w:rFonts w:ascii="Times New Roman" w:eastAsia="Times New Roman" w:hAnsi="Times New Roman"/>
          <w:color w:val="272727"/>
          <w:shd w:val="clear" w:color="auto" w:fill="FFFFFF"/>
        </w:rPr>
        <w:t xml:space="preserve">ut it </w:t>
      </w:r>
      <w:r w:rsidR="003F0198">
        <w:rPr>
          <w:rFonts w:ascii="Times New Roman" w:eastAsia="Times New Roman" w:hAnsi="Times New Roman"/>
          <w:color w:val="272727"/>
          <w:shd w:val="clear" w:color="auto" w:fill="FFFFFF"/>
        </w:rPr>
        <w:t>is scheduled to</w:t>
      </w:r>
      <w:r w:rsidR="00537ECC">
        <w:rPr>
          <w:rFonts w:ascii="Times New Roman" w:eastAsia="Times New Roman" w:hAnsi="Times New Roman"/>
          <w:color w:val="272727"/>
          <w:shd w:val="clear" w:color="auto" w:fill="FFFFFF"/>
        </w:rPr>
        <w:t xml:space="preserve"> expire after 2025</w:t>
      </w:r>
      <w:r w:rsidR="003F0198">
        <w:rPr>
          <w:rFonts w:ascii="Times New Roman" w:eastAsia="Times New Roman" w:hAnsi="Times New Roman"/>
          <w:color w:val="272727"/>
          <w:shd w:val="clear" w:color="auto" w:fill="FFFFFF"/>
        </w:rPr>
        <w:t xml:space="preserve"> unless Congress acts to extend it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. </w:t>
      </w:r>
    </w:p>
    <w:p w14:paraId="75CB89AB" w14:textId="77777777" w:rsidR="00FE42BE" w:rsidRPr="00D67B02" w:rsidRDefault="00FE42BE" w:rsidP="0075036A">
      <w:pPr>
        <w:spacing w:after="200"/>
        <w:rPr>
          <w:rFonts w:ascii="Times New Roman" w:hAnsi="Times New Roman"/>
        </w:rPr>
      </w:pPr>
      <w:r w:rsidRPr="00D67B02">
        <w:rPr>
          <w:rFonts w:ascii="Times New Roman" w:hAnsi="Times New Roman"/>
        </w:rPr>
        <w:t xml:space="preserve">The maximum deduction </w:t>
      </w:r>
      <w:r w:rsidR="006B3B4D" w:rsidRPr="00D67B02">
        <w:rPr>
          <w:rFonts w:ascii="Times New Roman" w:hAnsi="Times New Roman"/>
        </w:rPr>
        <w:t>i</w:t>
      </w:r>
      <w:r w:rsidR="00553C74" w:rsidRPr="00D67B02">
        <w:rPr>
          <w:rFonts w:ascii="Times New Roman" w:hAnsi="Times New Roman"/>
        </w:rPr>
        <w:t>s</w:t>
      </w:r>
      <w:r w:rsidRPr="00D67B02">
        <w:rPr>
          <w:rFonts w:ascii="Times New Roman" w:hAnsi="Times New Roman"/>
        </w:rPr>
        <w:t xml:space="preserve"> </w:t>
      </w:r>
      <w:r w:rsidR="00F316F0" w:rsidRPr="00D67B02">
        <w:rPr>
          <w:rFonts w:ascii="Times New Roman" w:hAnsi="Times New Roman"/>
        </w:rPr>
        <w:t xml:space="preserve">equal to </w:t>
      </w:r>
      <w:r w:rsidRPr="00D67B02">
        <w:rPr>
          <w:rFonts w:ascii="Times New Roman" w:hAnsi="Times New Roman"/>
        </w:rPr>
        <w:t xml:space="preserve">20% </w:t>
      </w:r>
      <w:r w:rsidR="00FF72AB" w:rsidRPr="00D67B02">
        <w:rPr>
          <w:rFonts w:ascii="Times New Roman" w:hAnsi="Times New Roman"/>
        </w:rPr>
        <w:t>of QBI</w:t>
      </w:r>
      <w:r w:rsidR="002175AA" w:rsidRPr="00D67B02">
        <w:rPr>
          <w:rFonts w:ascii="Times New Roman" w:hAnsi="Times New Roman"/>
        </w:rPr>
        <w:t xml:space="preserve">. </w:t>
      </w:r>
      <w:r w:rsidR="00E80F15">
        <w:rPr>
          <w:rFonts w:ascii="Times New Roman" w:hAnsi="Times New Roman"/>
        </w:rPr>
        <w:t>Generally</w:t>
      </w:r>
      <w:r w:rsidR="002175AA" w:rsidRPr="00D67B02">
        <w:rPr>
          <w:rFonts w:ascii="Times New Roman" w:hAnsi="Times New Roman"/>
        </w:rPr>
        <w:t>,</w:t>
      </w:r>
      <w:r w:rsidR="00FF72AB" w:rsidRPr="00D67B02">
        <w:rPr>
          <w:rFonts w:ascii="Times New Roman" w:hAnsi="Times New Roman"/>
        </w:rPr>
        <w:t xml:space="preserve"> </w:t>
      </w:r>
      <w:r w:rsidR="00D67B02">
        <w:rPr>
          <w:rFonts w:ascii="Times New Roman" w:hAnsi="Times New Roman"/>
        </w:rPr>
        <w:t>QBI refers to</w:t>
      </w:r>
      <w:r w:rsidR="002175AA" w:rsidRPr="00D67B02">
        <w:rPr>
          <w:rFonts w:ascii="Times New Roman" w:hAnsi="Times New Roman"/>
        </w:rPr>
        <w:t xml:space="preserve"> your net profit</w:t>
      </w:r>
      <w:r w:rsidR="00F628DF">
        <w:rPr>
          <w:rFonts w:ascii="Times New Roman" w:hAnsi="Times New Roman"/>
        </w:rPr>
        <w:t>, excluding</w:t>
      </w:r>
      <w:r w:rsidR="002175AA" w:rsidRPr="00D67B02">
        <w:rPr>
          <w:rFonts w:ascii="Times New Roman" w:hAnsi="Times New Roman"/>
        </w:rPr>
        <w:t xml:space="preserve"> </w:t>
      </w:r>
      <w:r w:rsidR="00B66836">
        <w:rPr>
          <w:rFonts w:ascii="Times New Roman" w:hAnsi="Times New Roman"/>
        </w:rPr>
        <w:t>c</w:t>
      </w:r>
      <w:r w:rsidR="00B66836" w:rsidRPr="00D67B02">
        <w:rPr>
          <w:rFonts w:ascii="Times New Roman" w:hAnsi="Times New Roman"/>
        </w:rPr>
        <w:t xml:space="preserve">apital </w:t>
      </w:r>
      <w:r w:rsidRPr="00D67B02">
        <w:rPr>
          <w:rFonts w:ascii="Times New Roman" w:hAnsi="Times New Roman"/>
        </w:rPr>
        <w:t>gains and losses</w:t>
      </w:r>
      <w:r w:rsidR="008D7C34">
        <w:rPr>
          <w:rFonts w:ascii="Times New Roman" w:hAnsi="Times New Roman"/>
        </w:rPr>
        <w:t>,</w:t>
      </w:r>
      <w:r w:rsidRPr="00D67B02">
        <w:rPr>
          <w:rFonts w:ascii="Times New Roman" w:hAnsi="Times New Roman"/>
        </w:rPr>
        <w:t xml:space="preserve"> dividends and interest income</w:t>
      </w:r>
      <w:r w:rsidR="008D7C34">
        <w:rPr>
          <w:rFonts w:ascii="Times New Roman" w:hAnsi="Times New Roman"/>
        </w:rPr>
        <w:t>,</w:t>
      </w:r>
      <w:r w:rsidRPr="00D67B02">
        <w:rPr>
          <w:rFonts w:ascii="Times New Roman" w:hAnsi="Times New Roman"/>
        </w:rPr>
        <w:t xml:space="preserve"> employee compensation and guaranteed payments to partner</w:t>
      </w:r>
      <w:r w:rsidR="00FF72AB" w:rsidRPr="00D67B02">
        <w:rPr>
          <w:rFonts w:ascii="Times New Roman" w:hAnsi="Times New Roman"/>
        </w:rPr>
        <w:t>s</w:t>
      </w:r>
      <w:r w:rsidRPr="00D67B02">
        <w:rPr>
          <w:rFonts w:ascii="Times New Roman" w:hAnsi="Times New Roman"/>
        </w:rPr>
        <w:t>.</w:t>
      </w:r>
      <w:r w:rsidR="0092233F">
        <w:rPr>
          <w:rFonts w:ascii="Times New Roman" w:hAnsi="Times New Roman"/>
        </w:rPr>
        <w:t xml:space="preserve"> </w:t>
      </w:r>
      <w:r w:rsidR="009E0CBD">
        <w:rPr>
          <w:rFonts w:ascii="Times New Roman" w:hAnsi="Times New Roman"/>
        </w:rPr>
        <w:t>T</w:t>
      </w:r>
      <w:r w:rsidR="0092233F" w:rsidRPr="00D67B02">
        <w:rPr>
          <w:rFonts w:ascii="Times New Roman" w:hAnsi="Times New Roman"/>
        </w:rPr>
        <w:t xml:space="preserve">he deduction can be claimed </w:t>
      </w:r>
      <w:proofErr w:type="gramStart"/>
      <w:r w:rsidR="0092233F" w:rsidRPr="00D67B02">
        <w:rPr>
          <w:rFonts w:ascii="Times New Roman" w:hAnsi="Times New Roman"/>
        </w:rPr>
        <w:t>whether or not</w:t>
      </w:r>
      <w:proofErr w:type="gramEnd"/>
      <w:r w:rsidR="0092233F" w:rsidRPr="00D67B02">
        <w:rPr>
          <w:rFonts w:ascii="Times New Roman" w:hAnsi="Times New Roman"/>
        </w:rPr>
        <w:t xml:space="preserve"> you itemize.</w:t>
      </w:r>
    </w:p>
    <w:p w14:paraId="1C6D6088" w14:textId="77777777" w:rsidR="003F2285" w:rsidRDefault="002175AA" w:rsidP="0075036A">
      <w:pPr>
        <w:spacing w:after="200"/>
        <w:rPr>
          <w:rFonts w:ascii="Times New Roman" w:eastAsia="Times New Roman" w:hAnsi="Times New Roman"/>
          <w:color w:val="272727"/>
          <w:shd w:val="clear" w:color="auto" w:fill="FFFFFF"/>
        </w:rPr>
      </w:pP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N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>o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ta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>b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ly,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the QBI deduction is subject to a phaseout 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>b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ased on your income. If 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>y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our total taxable income is below the lowest threshold, </w:t>
      </w:r>
      <w:r w:rsidR="00E41385">
        <w:rPr>
          <w:rFonts w:ascii="Times New Roman" w:eastAsia="Times New Roman" w:hAnsi="Times New Roman"/>
          <w:color w:val="272727"/>
          <w:shd w:val="clear" w:color="auto" w:fill="FFFFFF"/>
        </w:rPr>
        <w:t>y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>ou</w:t>
      </w:r>
      <w:r w:rsidR="009E0CBD">
        <w:rPr>
          <w:rFonts w:ascii="Times New Roman" w:eastAsia="Times New Roman" w:hAnsi="Times New Roman"/>
          <w:color w:val="272727"/>
          <w:shd w:val="clear" w:color="auto" w:fill="FFFFFF"/>
        </w:rPr>
        <w:t xml:space="preserve"> may be</w:t>
      </w:r>
      <w:r w:rsidR="00553C74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entitled to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the </w:t>
      </w:r>
      <w:r w:rsidR="00F316F0"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full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>20% deduction</w:t>
      </w:r>
      <w:r w:rsidR="009E0CBD">
        <w:rPr>
          <w:rFonts w:ascii="Times New Roman" w:eastAsia="Times New Roman" w:hAnsi="Times New Roman"/>
          <w:color w:val="272727"/>
          <w:shd w:val="clear" w:color="auto" w:fill="FFFFFF"/>
        </w:rPr>
        <w:t xml:space="preserve"> although other limitations do apply. </w:t>
      </w:r>
      <w:r w:rsidRPr="00D67B02">
        <w:rPr>
          <w:rFonts w:ascii="Times New Roman" w:eastAsia="Times New Roman" w:hAnsi="Times New Roman"/>
          <w:color w:val="272727"/>
          <w:shd w:val="clear" w:color="auto" w:fill="FFFFFF"/>
        </w:rPr>
        <w:t xml:space="preserve"> </w:t>
      </w:r>
    </w:p>
    <w:p w14:paraId="2B1CFB2D" w14:textId="77777777" w:rsidR="003F2285" w:rsidRDefault="003F2285" w:rsidP="003F2285">
      <w:pPr>
        <w:numPr>
          <w:ilvl w:val="0"/>
          <w:numId w:val="3"/>
        </w:numPr>
        <w:spacing w:after="200"/>
        <w:rPr>
          <w:rFonts w:ascii="Times New Roman" w:eastAsia="Times New Roman" w:hAnsi="Times New Roman"/>
          <w:color w:val="272727"/>
          <w:shd w:val="clear" w:color="auto" w:fill="FFFFFF"/>
        </w:rPr>
      </w:pPr>
      <w:r>
        <w:rPr>
          <w:rFonts w:ascii="Times New Roman" w:eastAsia="Times New Roman" w:hAnsi="Times New Roman"/>
          <w:color w:val="272727"/>
          <w:shd w:val="clear" w:color="auto" w:fill="FFFFFF"/>
        </w:rPr>
        <w:t>For 2023, the thresholds are $182,100 for single filers and $364,200 for joint filers.</w:t>
      </w:r>
    </w:p>
    <w:p w14:paraId="11DCC8EA" w14:textId="77777777" w:rsidR="00F7122D" w:rsidRPr="00537ECC" w:rsidRDefault="003F2285" w:rsidP="00DB7C05">
      <w:pPr>
        <w:numPr>
          <w:ilvl w:val="0"/>
          <w:numId w:val="3"/>
        </w:numPr>
        <w:spacing w:after="200"/>
        <w:rPr>
          <w:rFonts w:ascii="Times New Roman" w:hAnsi="Times New Roman"/>
          <w:color w:val="000000"/>
        </w:rPr>
      </w:pPr>
      <w:r w:rsidRPr="00537ECC">
        <w:rPr>
          <w:rFonts w:ascii="Times New Roman" w:eastAsia="Times New Roman" w:hAnsi="Times New Roman"/>
          <w:color w:val="272727"/>
          <w:shd w:val="clear" w:color="auto" w:fill="FFFFFF"/>
        </w:rPr>
        <w:t>For 2024, the thresholds are $191,950 for single filers and $383,900 for joint filers.</w:t>
      </w:r>
    </w:p>
    <w:p w14:paraId="5E146B22" w14:textId="77777777" w:rsidR="00EA2B09" w:rsidRDefault="00D67B02" w:rsidP="0075036A">
      <w:pPr>
        <w:spacing w:after="200"/>
        <w:rPr>
          <w:rStyle w:val="2gmchg1"/>
          <w:rFonts w:ascii="Times New Roman" w:hAnsi="Times New Roman"/>
          <w:color w:val="000000"/>
        </w:rPr>
      </w:pPr>
      <w:r>
        <w:rPr>
          <w:rStyle w:val="2gmchg1"/>
          <w:rFonts w:ascii="Times New Roman" w:hAnsi="Times New Roman"/>
          <w:color w:val="000000"/>
        </w:rPr>
        <w:t>But</w:t>
      </w:r>
      <w:r w:rsidR="002175AA" w:rsidRPr="00D67B02">
        <w:rPr>
          <w:rStyle w:val="2gmchg1"/>
          <w:rFonts w:ascii="Times New Roman" w:hAnsi="Times New Roman"/>
          <w:color w:val="000000"/>
        </w:rPr>
        <w:t xml:space="preserve"> thin</w:t>
      </w:r>
      <w:r w:rsidR="00553C74" w:rsidRPr="00D67B02">
        <w:rPr>
          <w:rStyle w:val="2gmchg1"/>
          <w:rFonts w:ascii="Times New Roman" w:hAnsi="Times New Roman"/>
          <w:color w:val="000000"/>
        </w:rPr>
        <w:t>g</w:t>
      </w:r>
      <w:r w:rsidR="002175AA" w:rsidRPr="00D67B02">
        <w:rPr>
          <w:rStyle w:val="2gmchg1"/>
          <w:rFonts w:ascii="Times New Roman" w:hAnsi="Times New Roman"/>
          <w:color w:val="000000"/>
        </w:rPr>
        <w:t xml:space="preserve">s get tricky if your income exceeds </w:t>
      </w:r>
      <w:r w:rsidR="000D2E1B">
        <w:rPr>
          <w:rStyle w:val="2gmchg1"/>
          <w:rFonts w:ascii="Times New Roman" w:hAnsi="Times New Roman"/>
          <w:color w:val="000000"/>
        </w:rPr>
        <w:t>the applicable</w:t>
      </w:r>
      <w:r w:rsidR="00F316F0" w:rsidRPr="00D67B02">
        <w:rPr>
          <w:rStyle w:val="2gmchg1"/>
          <w:rFonts w:ascii="Times New Roman" w:hAnsi="Times New Roman"/>
          <w:color w:val="000000"/>
        </w:rPr>
        <w:t xml:space="preserve"> threshold</w:t>
      </w:r>
      <w:r w:rsidR="002175AA" w:rsidRPr="00D67B02">
        <w:rPr>
          <w:rStyle w:val="2gmchg1"/>
          <w:rFonts w:ascii="Times New Roman" w:hAnsi="Times New Roman"/>
          <w:color w:val="000000"/>
        </w:rPr>
        <w:t>. In that ca</w:t>
      </w:r>
      <w:r w:rsidR="00553C74" w:rsidRPr="00D67B02">
        <w:rPr>
          <w:rStyle w:val="2gmchg1"/>
          <w:rFonts w:ascii="Times New Roman" w:hAnsi="Times New Roman"/>
          <w:color w:val="000000"/>
        </w:rPr>
        <w:t>s</w:t>
      </w:r>
      <w:r w:rsidR="002175AA" w:rsidRPr="00D67B02">
        <w:rPr>
          <w:rStyle w:val="2gmchg1"/>
          <w:rFonts w:ascii="Times New Roman" w:hAnsi="Times New Roman"/>
          <w:color w:val="000000"/>
        </w:rPr>
        <w:t xml:space="preserve">e, your ability to claim the QBI </w:t>
      </w:r>
      <w:r w:rsidR="00795FAD" w:rsidRPr="00D67B02">
        <w:rPr>
          <w:rStyle w:val="2gmchg1"/>
          <w:rFonts w:ascii="Times New Roman" w:hAnsi="Times New Roman"/>
          <w:color w:val="000000"/>
        </w:rPr>
        <w:t xml:space="preserve">deduction depends on the nature of your business. </w:t>
      </w:r>
    </w:p>
    <w:p w14:paraId="505EE50C" w14:textId="77777777" w:rsidR="000978DC" w:rsidRDefault="002175AA" w:rsidP="0075036A">
      <w:pPr>
        <w:spacing w:after="200"/>
        <w:rPr>
          <w:rFonts w:ascii="Times New Roman" w:eastAsia="Times New Roman" w:hAnsi="Times New Roman"/>
          <w:color w:val="000000"/>
        </w:rPr>
      </w:pPr>
      <w:r w:rsidRPr="00D67B02">
        <w:rPr>
          <w:rStyle w:val="2gmchg1"/>
          <w:rFonts w:ascii="Times New Roman" w:hAnsi="Times New Roman"/>
          <w:color w:val="000000"/>
        </w:rPr>
        <w:t>Specifically, the rules are dif</w:t>
      </w:r>
      <w:r w:rsidR="00553C74" w:rsidRPr="00D67B02">
        <w:rPr>
          <w:rStyle w:val="2gmchg1"/>
          <w:rFonts w:ascii="Times New Roman" w:hAnsi="Times New Roman"/>
          <w:color w:val="000000"/>
        </w:rPr>
        <w:t>fe</w:t>
      </w:r>
      <w:r w:rsidRPr="00D67B02">
        <w:rPr>
          <w:rStyle w:val="2gmchg1"/>
          <w:rFonts w:ascii="Times New Roman" w:hAnsi="Times New Roman"/>
          <w:color w:val="000000"/>
        </w:rPr>
        <w:t xml:space="preserve">rent </w:t>
      </w:r>
      <w:r w:rsidR="006B3B4D" w:rsidRPr="00D67B02">
        <w:rPr>
          <w:rStyle w:val="2gmchg1"/>
          <w:rFonts w:ascii="Times New Roman" w:hAnsi="Times New Roman"/>
          <w:color w:val="000000"/>
        </w:rPr>
        <w:t>for</w:t>
      </w:r>
      <w:r w:rsidRPr="00D67B02">
        <w:rPr>
          <w:rStyle w:val="2gmchg1"/>
          <w:rFonts w:ascii="Times New Roman" w:hAnsi="Times New Roman"/>
          <w:color w:val="000000"/>
        </w:rPr>
        <w:t xml:space="preserve"> regular </w:t>
      </w:r>
      <w:r w:rsidR="004B769D" w:rsidRPr="00D67B02">
        <w:rPr>
          <w:rStyle w:val="2gmchg1"/>
          <w:rFonts w:ascii="Times New Roman" w:hAnsi="Times New Roman"/>
          <w:color w:val="000000"/>
        </w:rPr>
        <w:t>business</w:t>
      </w:r>
      <w:r w:rsidR="00553C74" w:rsidRPr="00D67B02">
        <w:rPr>
          <w:rStyle w:val="2gmchg1"/>
          <w:rFonts w:ascii="Times New Roman" w:hAnsi="Times New Roman"/>
          <w:color w:val="000000"/>
        </w:rPr>
        <w:t xml:space="preserve"> </w:t>
      </w:r>
      <w:r w:rsidR="004B769D" w:rsidRPr="00D67B02">
        <w:rPr>
          <w:rStyle w:val="2gmchg1"/>
          <w:rFonts w:ascii="Times New Roman" w:hAnsi="Times New Roman"/>
          <w:color w:val="000000"/>
        </w:rPr>
        <w:t xml:space="preserve">owners </w:t>
      </w:r>
      <w:r w:rsidR="00553C74" w:rsidRPr="00D67B02">
        <w:rPr>
          <w:rStyle w:val="2gmchg1"/>
          <w:rFonts w:ascii="Times New Roman" w:hAnsi="Times New Roman"/>
          <w:color w:val="000000"/>
        </w:rPr>
        <w:t>of pass-through entities</w:t>
      </w:r>
      <w:r w:rsidR="000D2E1B">
        <w:rPr>
          <w:rStyle w:val="2gmchg1"/>
          <w:rFonts w:ascii="Times New Roman" w:hAnsi="Times New Roman"/>
          <w:color w:val="000000"/>
        </w:rPr>
        <w:t>,</w:t>
      </w:r>
      <w:r w:rsidR="00553C74" w:rsidRPr="00D67B02">
        <w:rPr>
          <w:rStyle w:val="2gmchg1"/>
          <w:rFonts w:ascii="Times New Roman" w:hAnsi="Times New Roman"/>
          <w:color w:val="000000"/>
        </w:rPr>
        <w:t xml:space="preserve"> </w:t>
      </w:r>
      <w:r w:rsidR="004B769D" w:rsidRPr="00D67B02">
        <w:rPr>
          <w:rStyle w:val="2gmchg1"/>
          <w:rFonts w:ascii="Times New Roman" w:hAnsi="Times New Roman"/>
          <w:color w:val="000000"/>
        </w:rPr>
        <w:t xml:space="preserve">sole proprietors </w:t>
      </w:r>
      <w:r w:rsidRPr="00D67B02">
        <w:rPr>
          <w:rStyle w:val="2gmchg1"/>
          <w:rFonts w:ascii="Times New Roman" w:hAnsi="Times New Roman"/>
          <w:color w:val="000000"/>
        </w:rPr>
        <w:t>and those who are</w:t>
      </w:r>
      <w:r w:rsidR="00553C74" w:rsidRPr="00D67B02">
        <w:rPr>
          <w:rStyle w:val="2gmchg1"/>
          <w:rFonts w:ascii="Times New Roman" w:hAnsi="Times New Roman"/>
          <w:color w:val="000000"/>
        </w:rPr>
        <w:t xml:space="preserve"> </w:t>
      </w:r>
      <w:r w:rsidRPr="00D67B02">
        <w:rPr>
          <w:rStyle w:val="2gmchg1"/>
          <w:rFonts w:ascii="Times New Roman" w:hAnsi="Times New Roman"/>
          <w:color w:val="000000"/>
        </w:rPr>
        <w:t xml:space="preserve">in </w:t>
      </w:r>
      <w:r w:rsidR="00795FAD" w:rsidRPr="00D67B02">
        <w:rPr>
          <w:rFonts w:ascii="Times New Roman" w:hAnsi="Times New Roman"/>
        </w:rPr>
        <w:t>“specified service trade</w:t>
      </w:r>
      <w:r w:rsidR="001749CF">
        <w:rPr>
          <w:rFonts w:ascii="Times New Roman" w:hAnsi="Times New Roman"/>
        </w:rPr>
        <w:t>s</w:t>
      </w:r>
      <w:r w:rsidR="00795FAD" w:rsidRPr="00D67B02">
        <w:rPr>
          <w:rFonts w:ascii="Times New Roman" w:hAnsi="Times New Roman"/>
        </w:rPr>
        <w:t xml:space="preserve"> or business</w:t>
      </w:r>
      <w:r w:rsidR="00A750D8">
        <w:rPr>
          <w:rFonts w:ascii="Times New Roman" w:hAnsi="Times New Roman"/>
        </w:rPr>
        <w:t>es</w:t>
      </w:r>
      <w:r w:rsidR="00795FAD" w:rsidRPr="00D67B02">
        <w:rPr>
          <w:rFonts w:ascii="Times New Roman" w:hAnsi="Times New Roman"/>
        </w:rPr>
        <w:t>” (SSTB</w:t>
      </w:r>
      <w:r w:rsidR="00A750D8">
        <w:rPr>
          <w:rFonts w:ascii="Times New Roman" w:hAnsi="Times New Roman"/>
        </w:rPr>
        <w:t>s</w:t>
      </w:r>
      <w:r w:rsidR="00795FAD" w:rsidRPr="00D67B02">
        <w:rPr>
          <w:rFonts w:ascii="Times New Roman" w:hAnsi="Times New Roman"/>
        </w:rPr>
        <w:t>). Th</w:t>
      </w:r>
      <w:r w:rsidR="004B769D" w:rsidRPr="00D67B02">
        <w:rPr>
          <w:rFonts w:ascii="Times New Roman" w:hAnsi="Times New Roman"/>
        </w:rPr>
        <w:t xml:space="preserve">is </w:t>
      </w:r>
      <w:r w:rsidR="006B3B4D" w:rsidRPr="00D67B02">
        <w:rPr>
          <w:rFonts w:ascii="Times New Roman" w:hAnsi="Times New Roman"/>
        </w:rPr>
        <w:t>covers</w:t>
      </w:r>
      <w:r w:rsidR="004B769D" w:rsidRPr="00D67B02">
        <w:rPr>
          <w:rFonts w:ascii="Times New Roman" w:hAnsi="Times New Roman"/>
        </w:rPr>
        <w:t xml:space="preserve"> </w:t>
      </w:r>
      <w:r w:rsidR="00553C74" w:rsidRPr="00D67B02">
        <w:rPr>
          <w:rFonts w:ascii="Times New Roman" w:hAnsi="Times New Roman"/>
        </w:rPr>
        <w:t>most</w:t>
      </w:r>
      <w:r w:rsidR="004B769D" w:rsidRPr="00D67B02">
        <w:rPr>
          <w:rFonts w:ascii="Times New Roman" w:hAnsi="Times New Roman"/>
        </w:rPr>
        <w:t xml:space="preserve"> </w:t>
      </w:r>
      <w:proofErr w:type="gramStart"/>
      <w:r w:rsidR="004B769D" w:rsidRPr="00D67B02">
        <w:rPr>
          <w:rFonts w:ascii="Times New Roman" w:hAnsi="Times New Roman"/>
        </w:rPr>
        <w:t xml:space="preserve">business </w:t>
      </w:r>
      <w:r w:rsidR="00553C74" w:rsidRPr="00D67B02">
        <w:rPr>
          <w:rFonts w:ascii="Times New Roman" w:hAnsi="Times New Roman"/>
        </w:rPr>
        <w:t>people</w:t>
      </w:r>
      <w:proofErr w:type="gramEnd"/>
      <w:r w:rsidR="00553C74" w:rsidRPr="00D67B02">
        <w:rPr>
          <w:rFonts w:ascii="Times New Roman" w:hAnsi="Times New Roman"/>
        </w:rPr>
        <w:t xml:space="preserve"> </w:t>
      </w:r>
      <w:r w:rsidR="004B769D" w:rsidRPr="00D67B02">
        <w:rPr>
          <w:rFonts w:ascii="Times New Roman" w:hAnsi="Times New Roman"/>
        </w:rPr>
        <w:t xml:space="preserve">who provide </w:t>
      </w:r>
      <w:r w:rsidR="00795FAD" w:rsidRPr="00D67B02">
        <w:rPr>
          <w:rFonts w:ascii="Times New Roman" w:hAnsi="Times New Roman"/>
        </w:rPr>
        <w:t>personal service</w:t>
      </w:r>
      <w:r w:rsidR="004B769D" w:rsidRPr="00D67B02">
        <w:rPr>
          <w:rFonts w:ascii="Times New Roman" w:hAnsi="Times New Roman"/>
        </w:rPr>
        <w:t xml:space="preserve">s </w:t>
      </w:r>
      <w:r w:rsidR="000978DC" w:rsidRPr="00D67B02">
        <w:rPr>
          <w:rFonts w:ascii="Times New Roman" w:hAnsi="Times New Roman"/>
        </w:rPr>
        <w:t>to the public</w:t>
      </w:r>
      <w:r w:rsidR="00AF3524">
        <w:rPr>
          <w:rFonts w:ascii="Times New Roman" w:hAnsi="Times New Roman"/>
        </w:rPr>
        <w:t>,</w:t>
      </w:r>
      <w:r w:rsidR="000978DC" w:rsidRPr="00D67B02">
        <w:rPr>
          <w:rFonts w:ascii="Times New Roman" w:hAnsi="Times New Roman"/>
        </w:rPr>
        <w:t xml:space="preserve"> </w:t>
      </w:r>
      <w:r w:rsidR="00AF3524">
        <w:rPr>
          <w:rFonts w:ascii="Times New Roman" w:hAnsi="Times New Roman"/>
        </w:rPr>
        <w:t>such as</w:t>
      </w:r>
      <w:r w:rsidR="00AF3524" w:rsidRPr="00D67B02">
        <w:rPr>
          <w:rFonts w:ascii="Times New Roman" w:hAnsi="Times New Roman"/>
        </w:rPr>
        <w:t xml:space="preserve"> </w:t>
      </w:r>
      <w:r w:rsidR="000978DC" w:rsidRPr="00D67B02">
        <w:rPr>
          <w:rFonts w:ascii="Times New Roman" w:hAnsi="Times New Roman"/>
        </w:rPr>
        <w:t xml:space="preserve">physicians, </w:t>
      </w:r>
      <w:r w:rsidR="00553C74" w:rsidRPr="00D67B02">
        <w:rPr>
          <w:rFonts w:ascii="Times New Roman" w:hAnsi="Times New Roman"/>
        </w:rPr>
        <w:t xml:space="preserve">attorneys, </w:t>
      </w:r>
      <w:r w:rsidR="000978DC" w:rsidRPr="00D67B02">
        <w:rPr>
          <w:rFonts w:ascii="Times New Roman" w:hAnsi="Times New Roman"/>
        </w:rPr>
        <w:t>financial planners</w:t>
      </w:r>
      <w:r w:rsidR="00D67B02">
        <w:rPr>
          <w:rFonts w:ascii="Times New Roman" w:hAnsi="Times New Roman"/>
        </w:rPr>
        <w:t xml:space="preserve"> and</w:t>
      </w:r>
      <w:r w:rsidR="000978DC" w:rsidRPr="00D67B02">
        <w:rPr>
          <w:rFonts w:ascii="Times New Roman" w:hAnsi="Times New Roman"/>
        </w:rPr>
        <w:t xml:space="preserve"> accountants</w:t>
      </w:r>
      <w:r w:rsidR="000D2E1B">
        <w:rPr>
          <w:rFonts w:ascii="Times New Roman" w:hAnsi="Times New Roman"/>
        </w:rPr>
        <w:t>.</w:t>
      </w:r>
      <w:r w:rsidR="00553C74" w:rsidRPr="00D67B02">
        <w:rPr>
          <w:rFonts w:ascii="Times New Roman" w:hAnsi="Times New Roman"/>
        </w:rPr>
        <w:t xml:space="preserve"> </w:t>
      </w:r>
      <w:r w:rsidR="000978DC" w:rsidRPr="00D67B02">
        <w:rPr>
          <w:rFonts w:ascii="Times New Roman" w:hAnsi="Times New Roman"/>
        </w:rPr>
        <w:t>(</w:t>
      </w:r>
      <w:r w:rsidR="000D2E1B">
        <w:rPr>
          <w:rFonts w:ascii="Times New Roman" w:hAnsi="Times New Roman"/>
        </w:rPr>
        <w:t>E</w:t>
      </w:r>
      <w:r w:rsidR="000978DC" w:rsidRPr="00D67B02">
        <w:rPr>
          <w:rFonts w:ascii="Times New Roman" w:hAnsi="Times New Roman"/>
        </w:rPr>
        <w:t xml:space="preserve">ngineers and architects are excluded). </w:t>
      </w:r>
      <w:r w:rsidR="000D2E1B">
        <w:rPr>
          <w:rFonts w:ascii="Times New Roman" w:hAnsi="Times New Roman"/>
        </w:rPr>
        <w:t>Professionals in t</w:t>
      </w:r>
      <w:r w:rsidR="000978DC" w:rsidRPr="00D67B02">
        <w:rPr>
          <w:rFonts w:ascii="Times New Roman" w:hAnsi="Times New Roman"/>
        </w:rPr>
        <w:t>his group forfeit the QBI deduction entirely if i</w:t>
      </w:r>
      <w:r w:rsidR="00553C74" w:rsidRPr="00D67B02">
        <w:rPr>
          <w:rFonts w:ascii="Times New Roman" w:hAnsi="Times New Roman"/>
        </w:rPr>
        <w:t>n</w:t>
      </w:r>
      <w:r w:rsidR="000978DC" w:rsidRPr="00D67B02">
        <w:rPr>
          <w:rFonts w:ascii="Times New Roman" w:hAnsi="Times New Roman"/>
        </w:rPr>
        <w:t>come e</w:t>
      </w:r>
      <w:r w:rsidR="00553C74" w:rsidRPr="00D67B02">
        <w:rPr>
          <w:rFonts w:ascii="Times New Roman" w:hAnsi="Times New Roman"/>
        </w:rPr>
        <w:t>x</w:t>
      </w:r>
      <w:r w:rsidR="000978DC" w:rsidRPr="00D67B02">
        <w:rPr>
          <w:rFonts w:ascii="Times New Roman" w:hAnsi="Times New Roman"/>
        </w:rPr>
        <w:t>ce</w:t>
      </w:r>
      <w:r w:rsidR="00553C74" w:rsidRPr="00D67B02">
        <w:rPr>
          <w:rFonts w:ascii="Times New Roman" w:hAnsi="Times New Roman"/>
        </w:rPr>
        <w:t>e</w:t>
      </w:r>
      <w:r w:rsidR="000978DC" w:rsidRPr="00D67B02">
        <w:rPr>
          <w:rFonts w:ascii="Times New Roman" w:hAnsi="Times New Roman"/>
        </w:rPr>
        <w:t xml:space="preserve">ds another set of limits. </w:t>
      </w:r>
      <w:r w:rsidR="00EB2F95">
        <w:rPr>
          <w:rFonts w:ascii="Times New Roman" w:hAnsi="Times New Roman"/>
        </w:rPr>
        <w:t xml:space="preserve"> </w:t>
      </w:r>
    </w:p>
    <w:p w14:paraId="6385D433" w14:textId="77777777" w:rsidR="00EB2F95" w:rsidRDefault="00EB2F95" w:rsidP="0075036A">
      <w:pPr>
        <w:spacing w:after="200"/>
        <w:rPr>
          <w:rFonts w:ascii="Times New Roman" w:eastAsia="Times New Roman" w:hAnsi="Times New Roman"/>
          <w:color w:val="000000"/>
        </w:rPr>
      </w:pPr>
    </w:p>
    <w:p w14:paraId="202A9660" w14:textId="77777777" w:rsidR="00EB2F95" w:rsidRDefault="00EB2F95" w:rsidP="0075036A">
      <w:pPr>
        <w:spacing w:after="200"/>
        <w:rPr>
          <w:rFonts w:ascii="Times New Roman" w:eastAsia="Times New Roman" w:hAnsi="Times New Roman"/>
          <w:color w:val="000000"/>
        </w:rPr>
      </w:pPr>
    </w:p>
    <w:p w14:paraId="1CD79F4B" w14:textId="77777777" w:rsidR="00EB2F95" w:rsidRDefault="00EB2F95" w:rsidP="00EB2F95">
      <w:pPr>
        <w:numPr>
          <w:ilvl w:val="0"/>
          <w:numId w:val="4"/>
        </w:numPr>
        <w:spacing w:after="20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For 2023, these upper limits are $232,100 for single filers and $464,200 for joint filers.</w:t>
      </w:r>
    </w:p>
    <w:p w14:paraId="1706BF7D" w14:textId="77777777" w:rsidR="00EB2F95" w:rsidRPr="00D67B02" w:rsidRDefault="00EB2F95" w:rsidP="00EB2F95">
      <w:pPr>
        <w:numPr>
          <w:ilvl w:val="0"/>
          <w:numId w:val="4"/>
        </w:numPr>
        <w:spacing w:after="20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For 2024, these upper limits are $241,950 for single filers and $483,900 for joint filers.</w:t>
      </w:r>
    </w:p>
    <w:p w14:paraId="78ECDD92" w14:textId="77777777" w:rsidR="00795FAD" w:rsidRPr="00D67B02" w:rsidRDefault="00795FAD" w:rsidP="0075036A">
      <w:pPr>
        <w:spacing w:after="200"/>
        <w:rPr>
          <w:rFonts w:ascii="Times New Roman" w:hAnsi="Times New Roman"/>
        </w:rPr>
      </w:pPr>
      <w:r w:rsidRPr="001C667C">
        <w:rPr>
          <w:rFonts w:ascii="Times New Roman" w:hAnsi="Times New Roman"/>
        </w:rPr>
        <w:t>If your income fall</w:t>
      </w:r>
      <w:r w:rsidR="0006332B" w:rsidRPr="001C667C">
        <w:rPr>
          <w:rFonts w:ascii="Times New Roman" w:hAnsi="Times New Roman"/>
        </w:rPr>
        <w:t>s</w:t>
      </w:r>
      <w:r w:rsidRPr="001C667C">
        <w:rPr>
          <w:rFonts w:ascii="Times New Roman" w:hAnsi="Times New Roman"/>
        </w:rPr>
        <w:t xml:space="preserve"> between the thresholds stated above, your QBI deduction is reduced, regardless of whether you’re in a</w:t>
      </w:r>
      <w:r w:rsidR="001F7115" w:rsidRPr="001C667C">
        <w:rPr>
          <w:rFonts w:ascii="Times New Roman" w:hAnsi="Times New Roman"/>
        </w:rPr>
        <w:t>n</w:t>
      </w:r>
      <w:r w:rsidRPr="001C667C">
        <w:rPr>
          <w:rFonts w:ascii="Times New Roman" w:hAnsi="Times New Roman"/>
        </w:rPr>
        <w:t xml:space="preserve"> SSTB or not.</w:t>
      </w:r>
      <w:r w:rsidR="00D67B02" w:rsidRPr="001C667C">
        <w:rPr>
          <w:rFonts w:ascii="Times New Roman" w:hAnsi="Times New Roman"/>
        </w:rPr>
        <w:t xml:space="preserve"> </w:t>
      </w:r>
      <w:r w:rsidRPr="001C667C">
        <w:rPr>
          <w:rFonts w:ascii="Times New Roman" w:hAnsi="Times New Roman"/>
        </w:rPr>
        <w:t>For taxpayers</w:t>
      </w:r>
      <w:r w:rsidR="004A6F86" w:rsidRPr="001C667C">
        <w:rPr>
          <w:rFonts w:ascii="Times New Roman" w:hAnsi="Times New Roman"/>
        </w:rPr>
        <w:t xml:space="preserve"> who </w:t>
      </w:r>
      <w:r w:rsidR="004A6F86" w:rsidRPr="00960A6C">
        <w:rPr>
          <w:rFonts w:ascii="Times New Roman" w:hAnsi="Times New Roman"/>
          <w:i/>
          <w:iCs/>
        </w:rPr>
        <w:t>are</w:t>
      </w:r>
      <w:r w:rsidR="004A6F86" w:rsidRPr="001C667C">
        <w:rPr>
          <w:rFonts w:ascii="Times New Roman" w:hAnsi="Times New Roman"/>
        </w:rPr>
        <w:t xml:space="preserve"> in SSTB</w:t>
      </w:r>
      <w:r w:rsidR="009D7599">
        <w:rPr>
          <w:rFonts w:ascii="Times New Roman" w:hAnsi="Times New Roman"/>
        </w:rPr>
        <w:t>s</w:t>
      </w:r>
      <w:r w:rsidRPr="001C667C">
        <w:rPr>
          <w:rFonts w:ascii="Times New Roman" w:hAnsi="Times New Roman"/>
        </w:rPr>
        <w:t xml:space="preserve">, the deduction is phased out until it </w:t>
      </w:r>
      <w:r w:rsidR="0006332B" w:rsidRPr="001C667C">
        <w:rPr>
          <w:rFonts w:ascii="Times New Roman" w:hAnsi="Times New Roman"/>
        </w:rPr>
        <w:t>disappears</w:t>
      </w:r>
      <w:r w:rsidRPr="001C667C">
        <w:rPr>
          <w:rFonts w:ascii="Times New Roman" w:hAnsi="Times New Roman"/>
        </w:rPr>
        <w:t xml:space="preserve"> at the upper income threshold. For </w:t>
      </w:r>
      <w:r w:rsidR="004A6F86" w:rsidRPr="001C667C">
        <w:rPr>
          <w:rFonts w:ascii="Times New Roman" w:hAnsi="Times New Roman"/>
        </w:rPr>
        <w:t>other</w:t>
      </w:r>
      <w:r w:rsidRPr="001C667C">
        <w:rPr>
          <w:rFonts w:ascii="Times New Roman" w:hAnsi="Times New Roman"/>
        </w:rPr>
        <w:t xml:space="preserve"> taxpayers, the deduction is limited to the lesser of 20% of QBI or the greater of 1) 50% of the wages paid to employees on W-2s</w:t>
      </w:r>
      <w:r w:rsidR="00D67B02" w:rsidRPr="001C667C">
        <w:rPr>
          <w:rFonts w:ascii="Times New Roman" w:hAnsi="Times New Roman"/>
        </w:rPr>
        <w:t>,</w:t>
      </w:r>
      <w:r w:rsidRPr="001C667C">
        <w:rPr>
          <w:rFonts w:ascii="Times New Roman" w:hAnsi="Times New Roman"/>
        </w:rPr>
        <w:t xml:space="preserve"> or 2) 25% of wages plus 2.5% of the </w:t>
      </w:r>
      <w:r w:rsidR="00D96C88" w:rsidRPr="001C667C">
        <w:rPr>
          <w:rFonts w:ascii="Times New Roman" w:hAnsi="Times New Roman"/>
        </w:rPr>
        <w:t xml:space="preserve">unadjusted </w:t>
      </w:r>
      <w:r w:rsidRPr="001C667C">
        <w:rPr>
          <w:rFonts w:ascii="Times New Roman" w:hAnsi="Times New Roman"/>
        </w:rPr>
        <w:t>basis of the qualified property owned by the business.</w:t>
      </w:r>
      <w:r w:rsidRPr="00D67B02">
        <w:rPr>
          <w:rFonts w:ascii="Times New Roman" w:hAnsi="Times New Roman"/>
        </w:rPr>
        <w:t xml:space="preserve"> </w:t>
      </w:r>
    </w:p>
    <w:p w14:paraId="31FD2EF7" w14:textId="77777777" w:rsidR="00D67B02" w:rsidRPr="00D67B02" w:rsidRDefault="00D67B02" w:rsidP="0075036A">
      <w:pPr>
        <w:spacing w:after="200"/>
        <w:rPr>
          <w:rFonts w:ascii="Times New Roman" w:hAnsi="Times New Roman"/>
          <w:b/>
          <w:bCs/>
        </w:rPr>
      </w:pPr>
      <w:r w:rsidRPr="00D67B02">
        <w:rPr>
          <w:rFonts w:ascii="Times New Roman" w:hAnsi="Times New Roman"/>
          <w:b/>
          <w:bCs/>
        </w:rPr>
        <w:t>Available for a limited time</w:t>
      </w:r>
    </w:p>
    <w:p w14:paraId="58FF760C" w14:textId="77777777" w:rsidR="004A6F86" w:rsidRDefault="00D82974" w:rsidP="0075036A">
      <w:pPr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06332B" w:rsidRPr="00D67B02">
        <w:rPr>
          <w:rFonts w:ascii="Times New Roman" w:hAnsi="Times New Roman"/>
        </w:rPr>
        <w:t>h</w:t>
      </w:r>
      <w:r w:rsidR="004A6F86" w:rsidRPr="00D67B02">
        <w:rPr>
          <w:rFonts w:ascii="Times New Roman" w:hAnsi="Times New Roman"/>
        </w:rPr>
        <w:t>e QBI deducti</w:t>
      </w:r>
      <w:r w:rsidR="0006332B" w:rsidRPr="00D67B02">
        <w:rPr>
          <w:rFonts w:ascii="Times New Roman" w:hAnsi="Times New Roman"/>
        </w:rPr>
        <w:t>o</w:t>
      </w:r>
      <w:r w:rsidR="004A6F86" w:rsidRPr="00D67B02">
        <w:rPr>
          <w:rFonts w:ascii="Times New Roman" w:hAnsi="Times New Roman"/>
        </w:rPr>
        <w:t xml:space="preserve">n </w:t>
      </w:r>
      <w:r w:rsidR="0092233F">
        <w:rPr>
          <w:rFonts w:ascii="Times New Roman" w:hAnsi="Times New Roman"/>
        </w:rPr>
        <w:t>provides a valuable tax break for small business owners</w:t>
      </w:r>
      <w:r w:rsidR="00AF3524">
        <w:rPr>
          <w:rFonts w:ascii="Times New Roman" w:hAnsi="Times New Roman"/>
        </w:rPr>
        <w:t>,</w:t>
      </w:r>
      <w:r w:rsidR="0092233F">
        <w:rPr>
          <w:rFonts w:ascii="Times New Roman" w:hAnsi="Times New Roman"/>
        </w:rPr>
        <w:t xml:space="preserve"> so if it expires, </w:t>
      </w:r>
      <w:r w:rsidR="00AF3524">
        <w:rPr>
          <w:rFonts w:ascii="Times New Roman" w:hAnsi="Times New Roman"/>
        </w:rPr>
        <w:t>their taxes are likely to go up</w:t>
      </w:r>
      <w:r w:rsidR="0092233F">
        <w:rPr>
          <w:rFonts w:ascii="Times New Roman" w:hAnsi="Times New Roman"/>
        </w:rPr>
        <w:t xml:space="preserve">. It’s unclear at this time whether </w:t>
      </w:r>
      <w:r w:rsidR="00AF3524">
        <w:rPr>
          <w:rFonts w:ascii="Times New Roman" w:hAnsi="Times New Roman"/>
        </w:rPr>
        <w:t>the deduction</w:t>
      </w:r>
      <w:r w:rsidR="0092233F">
        <w:rPr>
          <w:rFonts w:ascii="Times New Roman" w:hAnsi="Times New Roman"/>
        </w:rPr>
        <w:t xml:space="preserve"> has a chance of being extended.</w:t>
      </w:r>
      <w:r w:rsidR="004A6F86" w:rsidRPr="00D67B02">
        <w:rPr>
          <w:rFonts w:ascii="Times New Roman" w:hAnsi="Times New Roman"/>
        </w:rPr>
        <w:t xml:space="preserve"> </w:t>
      </w:r>
      <w:r w:rsidR="00742FBB">
        <w:rPr>
          <w:rFonts w:ascii="Times New Roman" w:hAnsi="Times New Roman"/>
        </w:rPr>
        <w:t>Contact us for</w:t>
      </w:r>
      <w:r w:rsidR="004A6F86" w:rsidRPr="00D67B02">
        <w:rPr>
          <w:rFonts w:ascii="Times New Roman" w:hAnsi="Times New Roman"/>
        </w:rPr>
        <w:t xml:space="preserve"> guidance </w:t>
      </w:r>
      <w:r w:rsidR="00742FBB">
        <w:rPr>
          <w:rFonts w:ascii="Times New Roman" w:hAnsi="Times New Roman"/>
        </w:rPr>
        <w:t>in determining the best strategy</w:t>
      </w:r>
      <w:r w:rsidR="00D67B02">
        <w:rPr>
          <w:rFonts w:ascii="Times New Roman" w:hAnsi="Times New Roman"/>
        </w:rPr>
        <w:t xml:space="preserve"> for</w:t>
      </w:r>
      <w:r w:rsidR="004A6F86" w:rsidRPr="00D67B02">
        <w:rPr>
          <w:rFonts w:ascii="Times New Roman" w:hAnsi="Times New Roman"/>
        </w:rPr>
        <w:t xml:space="preserve"> your personal situation. </w:t>
      </w:r>
    </w:p>
    <w:p w14:paraId="5B608CAA" w14:textId="77777777" w:rsidR="00113622" w:rsidRDefault="00113622" w:rsidP="0075036A">
      <w:pPr>
        <w:spacing w:after="200"/>
        <w:rPr>
          <w:rFonts w:ascii="Times New Roman" w:hAnsi="Times New Roman"/>
        </w:rPr>
      </w:pPr>
    </w:p>
    <w:p w14:paraId="22013B96" w14:textId="77777777" w:rsidR="00113622" w:rsidRDefault="00113622" w:rsidP="0075036A">
      <w:pPr>
        <w:spacing w:after="200"/>
        <w:rPr>
          <w:rFonts w:ascii="Times New Roman" w:hAnsi="Times New Roman"/>
        </w:rPr>
      </w:pPr>
    </w:p>
    <w:p w14:paraId="2457BD90" w14:textId="77777777" w:rsidR="00113622" w:rsidRDefault="00113622" w:rsidP="0075036A">
      <w:pPr>
        <w:spacing w:after="200"/>
        <w:rPr>
          <w:rFonts w:ascii="Times New Roman" w:hAnsi="Times New Roman"/>
        </w:rPr>
      </w:pPr>
    </w:p>
    <w:p w14:paraId="55100F82" w14:textId="77777777" w:rsidR="00113622" w:rsidRDefault="00113622" w:rsidP="0075036A">
      <w:pPr>
        <w:spacing w:after="200"/>
        <w:rPr>
          <w:rFonts w:ascii="Times New Roman" w:hAnsi="Times New Roman"/>
        </w:rPr>
      </w:pPr>
    </w:p>
    <w:p w14:paraId="642FD207" w14:textId="77777777" w:rsidR="001C667C" w:rsidRPr="001C667C" w:rsidRDefault="001C667C" w:rsidP="0075036A">
      <w:pPr>
        <w:spacing w:after="200"/>
        <w:rPr>
          <w:rFonts w:ascii="Calibri" w:eastAsia="Times New Roman" w:hAnsi="Calibri" w:cs="Calibri"/>
          <w:color w:val="000000"/>
          <w:sz w:val="22"/>
          <w:szCs w:val="22"/>
        </w:rPr>
      </w:pPr>
      <w:r w:rsidRPr="006179AB">
        <w:rPr>
          <w:rFonts w:ascii="Times New Roman" w:hAnsi="Times New Roman"/>
        </w:rPr>
        <w:t xml:space="preserve">© </w:t>
      </w:r>
      <w:r w:rsidRPr="006179AB">
        <w:rPr>
          <w:rFonts w:ascii="Times New Roman" w:hAnsi="Times New Roman"/>
          <w:i/>
          <w:iCs/>
        </w:rPr>
        <w:t>202</w:t>
      </w:r>
      <w:r w:rsidR="00E85CEB">
        <w:rPr>
          <w:rFonts w:ascii="Times New Roman" w:hAnsi="Times New Roman"/>
          <w:i/>
          <w:iCs/>
        </w:rPr>
        <w:t>4</w:t>
      </w:r>
    </w:p>
    <w:sectPr w:rsidR="001C667C" w:rsidRPr="001C667C" w:rsidSect="007079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4CD8"/>
    <w:multiLevelType w:val="hybridMultilevel"/>
    <w:tmpl w:val="688C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C7188"/>
    <w:multiLevelType w:val="multilevel"/>
    <w:tmpl w:val="7BDC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A11C5"/>
    <w:multiLevelType w:val="hybridMultilevel"/>
    <w:tmpl w:val="C094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47CAD"/>
    <w:multiLevelType w:val="hybridMultilevel"/>
    <w:tmpl w:val="B3B0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7681">
    <w:abstractNumId w:val="1"/>
  </w:num>
  <w:num w:numId="2" w16cid:durableId="1799376736">
    <w:abstractNumId w:val="3"/>
  </w:num>
  <w:num w:numId="3" w16cid:durableId="1852066065">
    <w:abstractNumId w:val="2"/>
  </w:num>
  <w:num w:numId="4" w16cid:durableId="16371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C5"/>
    <w:rsid w:val="000031D0"/>
    <w:rsid w:val="0006332B"/>
    <w:rsid w:val="0007264F"/>
    <w:rsid w:val="000978DC"/>
    <w:rsid w:val="000A731F"/>
    <w:rsid w:val="000B30BD"/>
    <w:rsid w:val="000D2E1B"/>
    <w:rsid w:val="00113622"/>
    <w:rsid w:val="001749CF"/>
    <w:rsid w:val="00175249"/>
    <w:rsid w:val="001C667C"/>
    <w:rsid w:val="001F7115"/>
    <w:rsid w:val="002175AA"/>
    <w:rsid w:val="00227ED5"/>
    <w:rsid w:val="002435E8"/>
    <w:rsid w:val="00334E9B"/>
    <w:rsid w:val="003723F7"/>
    <w:rsid w:val="003E7D07"/>
    <w:rsid w:val="003F0198"/>
    <w:rsid w:val="003F2285"/>
    <w:rsid w:val="004625C5"/>
    <w:rsid w:val="004A6F86"/>
    <w:rsid w:val="004B769D"/>
    <w:rsid w:val="004C2B23"/>
    <w:rsid w:val="00537ECC"/>
    <w:rsid w:val="00553C74"/>
    <w:rsid w:val="005801CD"/>
    <w:rsid w:val="005A51AA"/>
    <w:rsid w:val="005C1A64"/>
    <w:rsid w:val="00646649"/>
    <w:rsid w:val="00693B6F"/>
    <w:rsid w:val="006B3B4D"/>
    <w:rsid w:val="006E4F07"/>
    <w:rsid w:val="006E6461"/>
    <w:rsid w:val="00707939"/>
    <w:rsid w:val="00742FBB"/>
    <w:rsid w:val="0075036A"/>
    <w:rsid w:val="007822DE"/>
    <w:rsid w:val="00795FAD"/>
    <w:rsid w:val="00797A32"/>
    <w:rsid w:val="00797D8D"/>
    <w:rsid w:val="007C0698"/>
    <w:rsid w:val="007E35D4"/>
    <w:rsid w:val="00816A18"/>
    <w:rsid w:val="00863675"/>
    <w:rsid w:val="008D7C34"/>
    <w:rsid w:val="009009B8"/>
    <w:rsid w:val="0092233F"/>
    <w:rsid w:val="00933A36"/>
    <w:rsid w:val="00960A6C"/>
    <w:rsid w:val="009D7599"/>
    <w:rsid w:val="009E0CBD"/>
    <w:rsid w:val="00A05B18"/>
    <w:rsid w:val="00A750D8"/>
    <w:rsid w:val="00AD6928"/>
    <w:rsid w:val="00AF3524"/>
    <w:rsid w:val="00B17DED"/>
    <w:rsid w:val="00B6270F"/>
    <w:rsid w:val="00B66836"/>
    <w:rsid w:val="00B71DD9"/>
    <w:rsid w:val="00B80805"/>
    <w:rsid w:val="00C3784B"/>
    <w:rsid w:val="00C448DD"/>
    <w:rsid w:val="00C86C2F"/>
    <w:rsid w:val="00C97BC9"/>
    <w:rsid w:val="00CB08E9"/>
    <w:rsid w:val="00CB51E3"/>
    <w:rsid w:val="00CC7305"/>
    <w:rsid w:val="00CE413A"/>
    <w:rsid w:val="00D365CE"/>
    <w:rsid w:val="00D44F2E"/>
    <w:rsid w:val="00D616C2"/>
    <w:rsid w:val="00D67B02"/>
    <w:rsid w:val="00D82974"/>
    <w:rsid w:val="00D96C88"/>
    <w:rsid w:val="00DB57F5"/>
    <w:rsid w:val="00DB7C05"/>
    <w:rsid w:val="00E0293E"/>
    <w:rsid w:val="00E20356"/>
    <w:rsid w:val="00E231B0"/>
    <w:rsid w:val="00E41385"/>
    <w:rsid w:val="00E675E2"/>
    <w:rsid w:val="00E74264"/>
    <w:rsid w:val="00E80F15"/>
    <w:rsid w:val="00E85CEB"/>
    <w:rsid w:val="00EA2B09"/>
    <w:rsid w:val="00EB2F95"/>
    <w:rsid w:val="00EE3825"/>
    <w:rsid w:val="00F316F0"/>
    <w:rsid w:val="00F35FCF"/>
    <w:rsid w:val="00F45EED"/>
    <w:rsid w:val="00F628DF"/>
    <w:rsid w:val="00F7122D"/>
    <w:rsid w:val="00FA1895"/>
    <w:rsid w:val="00FA2B48"/>
    <w:rsid w:val="00FB74F2"/>
    <w:rsid w:val="00FC330D"/>
    <w:rsid w:val="00FE42B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216E7"/>
  <w14:defaultImageDpi w14:val="300"/>
  <w15:docId w15:val="{FF6DC492-2089-C64B-B1E1-9A1C2DE5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AD"/>
    <w:pPr>
      <w:ind w:left="720"/>
      <w:contextualSpacing/>
    </w:pPr>
  </w:style>
  <w:style w:type="paragraph" w:customStyle="1" w:styleId="2gmchg">
    <w:name w:val="_2gmchg"/>
    <w:basedOn w:val="Normal"/>
    <w:rsid w:val="00795F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gmchg1">
    <w:name w:val="_2gmchg1"/>
    <w:basedOn w:val="DefaultParagraphFont"/>
    <w:rsid w:val="00795FAD"/>
  </w:style>
  <w:style w:type="paragraph" w:styleId="Revision">
    <w:name w:val="Revision"/>
    <w:hidden/>
    <w:uiPriority w:val="99"/>
    <w:semiHidden/>
    <w:rsid w:val="00E675E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E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1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413A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45EE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4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9DD3B-56D1-4C0C-82DC-D023E8733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36C1A-1F7C-4D4D-BEE0-95E889B29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Berry</dc:creator>
  <cp:keywords/>
  <dc:description/>
  <cp:lastModifiedBy>Antonio Marquez</cp:lastModifiedBy>
  <cp:revision>3</cp:revision>
  <dcterms:created xsi:type="dcterms:W3CDTF">2023-12-22T22:58:00Z</dcterms:created>
  <dcterms:modified xsi:type="dcterms:W3CDTF">2023-12-28T20:48:00Z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